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Pr="00320C66" w:rsidRDefault="00D47D4F"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noProof/>
          <w:sz w:val="24"/>
          <w:szCs w:val="24"/>
        </w:rPr>
        <w:drawing>
          <wp:inline distT="0" distB="0" distL="0" distR="0" wp14:anchorId="04A2099D" wp14:editId="2B5B1ED6">
            <wp:extent cx="1885950" cy="1149253"/>
            <wp:effectExtent l="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Pr="00320C66"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THE CITY OF PALM COAST</w:t>
      </w:r>
    </w:p>
    <w:p w14:paraId="1F80EF91" w14:textId="6D52DB66"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160 LAKE AVENUE</w:t>
      </w:r>
    </w:p>
    <w:p w14:paraId="1EB7B7F7" w14:textId="00CF35F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PALM COAST, FL 32164</w:t>
      </w:r>
    </w:p>
    <w:p w14:paraId="285716F5" w14:textId="30188C00" w:rsidR="0018559F" w:rsidRPr="00320C66" w:rsidRDefault="0018559F" w:rsidP="00ED4830">
      <w:pPr>
        <w:spacing w:after="0" w:line="240" w:lineRule="auto"/>
        <w:jc w:val="center"/>
        <w:rPr>
          <w:rFonts w:ascii="Times New Roman" w:hAnsi="Times New Roman" w:cs="Times New Roman"/>
          <w:b/>
          <w:bCs/>
          <w:sz w:val="24"/>
          <w:szCs w:val="24"/>
        </w:rPr>
      </w:pPr>
    </w:p>
    <w:p w14:paraId="38BF968F" w14:textId="77777777" w:rsidR="0018559F" w:rsidRPr="00320C66" w:rsidRDefault="0018559F" w:rsidP="00ED4830">
      <w:pPr>
        <w:spacing w:after="0" w:line="240" w:lineRule="auto"/>
        <w:jc w:val="center"/>
        <w:rPr>
          <w:rFonts w:ascii="Times New Roman" w:hAnsi="Times New Roman" w:cs="Times New Roman"/>
          <w:b/>
          <w:bCs/>
          <w:sz w:val="24"/>
          <w:szCs w:val="24"/>
        </w:rPr>
      </w:pPr>
    </w:p>
    <w:p w14:paraId="015EA1D4" w14:textId="37BC59AD"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BUSINESS IMPACT ESTIMATE</w:t>
      </w:r>
    </w:p>
    <w:p w14:paraId="2215C1E6" w14:textId="0E8A9FF0"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PURSUANT TO F.S. 166.041(4)</w:t>
      </w:r>
    </w:p>
    <w:p w14:paraId="774A8CCF" w14:textId="77777777" w:rsidR="00ED4830" w:rsidRPr="00320C66" w:rsidRDefault="00ED4830" w:rsidP="00ED4830">
      <w:pPr>
        <w:spacing w:after="0" w:line="240" w:lineRule="auto"/>
        <w:jc w:val="center"/>
        <w:rPr>
          <w:rFonts w:ascii="Times New Roman" w:hAnsi="Times New Roman" w:cs="Times New Roman"/>
          <w:b/>
          <w:bCs/>
          <w:sz w:val="24"/>
          <w:szCs w:val="24"/>
        </w:rPr>
      </w:pPr>
    </w:p>
    <w:p w14:paraId="0C6B3B93" w14:textId="6D867D37"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Meeting Date: </w:t>
      </w:r>
      <w:r w:rsidR="00733AC1" w:rsidRPr="00320C66">
        <w:rPr>
          <w:rFonts w:ascii="Times New Roman" w:hAnsi="Times New Roman" w:cs="Times New Roman"/>
          <w:b/>
          <w:bCs/>
          <w:sz w:val="24"/>
          <w:szCs w:val="24"/>
        </w:rPr>
        <w:t xml:space="preserve"> </w:t>
      </w:r>
      <w:r w:rsidR="0056606F" w:rsidRPr="00320C66">
        <w:rPr>
          <w:rFonts w:ascii="Times New Roman" w:hAnsi="Times New Roman" w:cs="Times New Roman"/>
          <w:b/>
          <w:bCs/>
          <w:sz w:val="24"/>
          <w:szCs w:val="24"/>
        </w:rPr>
        <w:t>October 15, 2024</w:t>
      </w:r>
    </w:p>
    <w:p w14:paraId="116FC8A6" w14:textId="74AB49AC"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Ordinance Number: </w:t>
      </w:r>
      <w:r w:rsidR="00D20EF4" w:rsidRPr="00320C66">
        <w:rPr>
          <w:rFonts w:ascii="Times New Roman" w:hAnsi="Times New Roman" w:cs="Times New Roman"/>
          <w:b/>
          <w:bCs/>
          <w:sz w:val="24"/>
          <w:szCs w:val="24"/>
        </w:rPr>
        <w:t xml:space="preserve"> 2024-XX</w:t>
      </w:r>
    </w:p>
    <w:p w14:paraId="3A3D584B" w14:textId="6D10B4C5"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Posted To Webpage: </w:t>
      </w:r>
      <w:r w:rsidR="00733AC1" w:rsidRPr="00320C66">
        <w:rPr>
          <w:rFonts w:ascii="Times New Roman" w:hAnsi="Times New Roman" w:cs="Times New Roman"/>
          <w:b/>
          <w:bCs/>
          <w:sz w:val="24"/>
          <w:szCs w:val="24"/>
        </w:rPr>
        <w:t xml:space="preserve"> </w:t>
      </w:r>
      <w:r w:rsidR="00320C66" w:rsidRPr="00320C66">
        <w:rPr>
          <w:rFonts w:ascii="Times New Roman" w:hAnsi="Times New Roman" w:cs="Times New Roman"/>
          <w:b/>
          <w:bCs/>
          <w:sz w:val="24"/>
          <w:szCs w:val="24"/>
        </w:rPr>
        <w:t>October 1, 2024</w:t>
      </w:r>
      <w:r w:rsidR="00906705" w:rsidRPr="00320C66">
        <w:rPr>
          <w:rFonts w:ascii="Times New Roman" w:hAnsi="Times New Roman" w:cs="Times New Roman"/>
          <w:b/>
          <w:bCs/>
          <w:sz w:val="24"/>
          <w:szCs w:val="24"/>
        </w:rPr>
        <w:t xml:space="preserve"> </w:t>
      </w:r>
    </w:p>
    <w:p w14:paraId="7E3CEF54" w14:textId="77777777" w:rsidR="0018559F" w:rsidRPr="00320C66" w:rsidRDefault="0018559F" w:rsidP="0018559F">
      <w:pPr>
        <w:spacing w:after="0" w:line="240" w:lineRule="auto"/>
        <w:rPr>
          <w:rFonts w:ascii="Times New Roman" w:hAnsi="Times New Roman" w:cs="Times New Roman"/>
          <w:b/>
          <w:bCs/>
          <w:sz w:val="24"/>
          <w:szCs w:val="24"/>
        </w:rPr>
      </w:pPr>
    </w:p>
    <w:p w14:paraId="0D8EAE24" w14:textId="74BA86B5"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This Business Impact Estimate is given as it relates to the proposed ordinance titled: </w:t>
      </w:r>
    </w:p>
    <w:p w14:paraId="199430FA" w14:textId="77777777" w:rsidR="00F96CD5" w:rsidRDefault="00F96CD5" w:rsidP="00F96CD5">
      <w:pPr>
        <w:autoSpaceDE w:val="0"/>
        <w:autoSpaceDN w:val="0"/>
        <w:ind w:left="1440" w:right="810"/>
        <w:jc w:val="both"/>
        <w:rPr>
          <w:rFonts w:ascii="Times New Roman" w:hAnsi="Times New Roman" w:cs="Times New Roman"/>
          <w:b/>
          <w:bCs/>
          <w:caps/>
          <w:color w:val="000000"/>
          <w:sz w:val="24"/>
          <w:szCs w:val="24"/>
        </w:rPr>
      </w:pPr>
      <w:bookmarkStart w:id="0" w:name="_Hlk178673147"/>
      <w:r w:rsidRPr="00320C66">
        <w:rPr>
          <w:rFonts w:ascii="Times New Roman" w:hAnsi="Times New Roman" w:cs="Times New Roman"/>
          <w:b/>
          <w:bCs/>
          <w:caps/>
          <w:color w:val="000000"/>
          <w:sz w:val="24"/>
          <w:szCs w:val="24"/>
        </w:rPr>
        <w:t>An ORDINANCE OF THE CITY OF PALM COAST, FLORIDA, AMENDING</w:t>
      </w:r>
      <w:r>
        <w:rPr>
          <w:rFonts w:ascii="Times New Roman" w:hAnsi="Times New Roman" w:cs="Times New Roman"/>
          <w:b/>
          <w:bCs/>
          <w:caps/>
          <w:color w:val="000000"/>
          <w:sz w:val="24"/>
          <w:szCs w:val="24"/>
        </w:rPr>
        <w:t xml:space="preserve"> THE UNIFIED LAND DEVELOPMENT CODE</w:t>
      </w:r>
      <w:r w:rsidRPr="00320C66">
        <w:rPr>
          <w:rFonts w:ascii="Times New Roman" w:hAnsi="Times New Roman" w:cs="Times New Roman"/>
          <w:b/>
          <w:bCs/>
          <w:caps/>
          <w:color w:val="000000"/>
          <w:sz w:val="24"/>
          <w:szCs w:val="24"/>
        </w:rPr>
        <w:t xml:space="preserve"> Sections 2.04, APPLICABILITY, 2.05 NEIGHBORHOOD MEETINGS, and 3.03, Nonresidential and Mixed Use Zoning Districts; ESTABLISHING section 3.06, </w:t>
      </w:r>
      <w:bookmarkStart w:id="1" w:name="_Hlk174369741"/>
      <w:r w:rsidRPr="00320C66">
        <w:rPr>
          <w:rFonts w:ascii="Times New Roman" w:hAnsi="Times New Roman" w:cs="Times New Roman"/>
          <w:b/>
          <w:bCs/>
          <w:caps/>
          <w:color w:val="000000"/>
          <w:sz w:val="24"/>
          <w:szCs w:val="24"/>
        </w:rPr>
        <w:t>Affordable housing mixed-use residential Development standards, chapter 3, zoning uses, and dimensional standards, of the CITY OF PALM COAST LAND DEVELOPMENT CODE</w:t>
      </w:r>
      <w:bookmarkEnd w:id="1"/>
      <w:r w:rsidRPr="00320C66">
        <w:rPr>
          <w:rFonts w:ascii="Times New Roman" w:hAnsi="Times New Roman" w:cs="Times New Roman"/>
          <w:b/>
          <w:bCs/>
          <w:caps/>
          <w:color w:val="000000"/>
          <w:sz w:val="24"/>
          <w:szCs w:val="24"/>
        </w:rPr>
        <w:t>, to ensure compliance with SECTION 166.04151, FLORIDA STATUTES; AMENDING SECTION 14.02 GLOSSARY, OF CHAPTER 14 OF THE city of palm coast UNIFIED LAND DEVELOPMENT CODE TO ADD, delete and restate various definitions; pROVIDING FOR SEVERABILITY; pROVIDING FOR CONFLICTS;</w:t>
      </w:r>
      <w:r>
        <w:rPr>
          <w:rFonts w:ascii="Times New Roman" w:hAnsi="Times New Roman" w:cs="Times New Roman"/>
          <w:b/>
          <w:bCs/>
          <w:caps/>
          <w:color w:val="000000"/>
          <w:sz w:val="24"/>
          <w:szCs w:val="24"/>
        </w:rPr>
        <w:t xml:space="preserve"> </w:t>
      </w:r>
      <w:r w:rsidRPr="00320C66">
        <w:rPr>
          <w:rFonts w:ascii="Times New Roman" w:hAnsi="Times New Roman" w:cs="Times New Roman"/>
          <w:b/>
          <w:bCs/>
          <w:caps/>
          <w:color w:val="000000"/>
          <w:sz w:val="24"/>
          <w:szCs w:val="24"/>
        </w:rPr>
        <w:t>PROVIDING FOR CODIFICATION</w:t>
      </w:r>
      <w:r>
        <w:rPr>
          <w:rFonts w:ascii="Times New Roman" w:hAnsi="Times New Roman" w:cs="Times New Roman"/>
          <w:b/>
          <w:bCs/>
          <w:caps/>
          <w:color w:val="000000"/>
          <w:sz w:val="24"/>
          <w:szCs w:val="24"/>
        </w:rPr>
        <w:t>;</w:t>
      </w:r>
      <w:r w:rsidRPr="00320C66">
        <w:rPr>
          <w:rFonts w:ascii="Times New Roman" w:hAnsi="Times New Roman" w:cs="Times New Roman"/>
          <w:b/>
          <w:bCs/>
          <w:caps/>
          <w:color w:val="000000"/>
          <w:sz w:val="24"/>
          <w:szCs w:val="24"/>
        </w:rPr>
        <w:t xml:space="preserve"> PROVIDING FOR AN EFFECTIVE DATE; </w:t>
      </w:r>
      <w:r>
        <w:rPr>
          <w:rFonts w:ascii="Times New Roman" w:hAnsi="Times New Roman" w:cs="Times New Roman"/>
          <w:b/>
          <w:bCs/>
          <w:caps/>
          <w:color w:val="000000"/>
          <w:sz w:val="24"/>
          <w:szCs w:val="24"/>
        </w:rPr>
        <w:t xml:space="preserve">and </w:t>
      </w:r>
      <w:r w:rsidRPr="00320C66">
        <w:rPr>
          <w:rFonts w:ascii="Times New Roman" w:hAnsi="Times New Roman" w:cs="Times New Roman"/>
          <w:b/>
          <w:bCs/>
          <w:caps/>
          <w:color w:val="000000"/>
          <w:sz w:val="24"/>
          <w:szCs w:val="24"/>
        </w:rPr>
        <w:t xml:space="preserve">Providing </w:t>
      </w:r>
      <w:r>
        <w:rPr>
          <w:rFonts w:ascii="Times New Roman" w:hAnsi="Times New Roman" w:cs="Times New Roman"/>
          <w:b/>
          <w:bCs/>
          <w:caps/>
          <w:color w:val="000000"/>
          <w:sz w:val="24"/>
          <w:szCs w:val="24"/>
        </w:rPr>
        <w:t xml:space="preserve"> for </w:t>
      </w:r>
      <w:r w:rsidRPr="00320C66">
        <w:rPr>
          <w:rFonts w:ascii="Times New Roman" w:hAnsi="Times New Roman" w:cs="Times New Roman"/>
          <w:b/>
          <w:bCs/>
          <w:caps/>
          <w:color w:val="000000"/>
          <w:sz w:val="24"/>
          <w:szCs w:val="24"/>
        </w:rPr>
        <w:t>SunSET Provisions</w:t>
      </w:r>
    </w:p>
    <w:bookmarkEnd w:id="0"/>
    <w:p w14:paraId="4A539748" w14:textId="77777777" w:rsidR="006F5ACE" w:rsidRPr="00320C66" w:rsidRDefault="006F5ACE" w:rsidP="00320C66">
      <w:pPr>
        <w:autoSpaceDE w:val="0"/>
        <w:autoSpaceDN w:val="0"/>
        <w:ind w:left="1440" w:right="810"/>
        <w:jc w:val="both"/>
        <w:rPr>
          <w:rFonts w:ascii="Times New Roman" w:hAnsi="Times New Roman" w:cs="Times New Roman"/>
          <w:b/>
          <w:bCs/>
          <w:caps/>
          <w:color w:val="000000"/>
          <w:sz w:val="24"/>
          <w:szCs w:val="24"/>
        </w:rPr>
      </w:pPr>
    </w:p>
    <w:p w14:paraId="593A7DCD" w14:textId="15A522BD"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The sections below </w:t>
      </w:r>
      <w:r w:rsidRPr="00320C66">
        <w:rPr>
          <w:rFonts w:ascii="Times New Roman" w:hAnsi="Times New Roman" w:cs="Times New Roman"/>
          <w:sz w:val="24"/>
          <w:szCs w:val="24"/>
          <w:u w:val="single"/>
        </w:rPr>
        <w:t>are not</w:t>
      </w:r>
      <w:r w:rsidRPr="00320C66">
        <w:rPr>
          <w:rFonts w:ascii="Times New Roman" w:hAnsi="Times New Roman" w:cs="Times New Roman"/>
          <w:sz w:val="24"/>
          <w:szCs w:val="24"/>
        </w:rPr>
        <w:t xml:space="preserve"> required to be completed if the ordinance involves any one of the following types of regulations. Please check if applicable: </w:t>
      </w:r>
    </w:p>
    <w:p w14:paraId="754ED562" w14:textId="77777777"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__ 1. Ordinances required for compliance with federal or state law or </w:t>
      </w:r>
      <w:proofErr w:type="gramStart"/>
      <w:r w:rsidRPr="00320C66">
        <w:rPr>
          <w:rFonts w:ascii="Times New Roman" w:hAnsi="Times New Roman" w:cs="Times New Roman"/>
          <w:sz w:val="24"/>
          <w:szCs w:val="24"/>
        </w:rPr>
        <w:t>regulation;</w:t>
      </w:r>
      <w:proofErr w:type="gramEnd"/>
    </w:p>
    <w:p w14:paraId="46526380" w14:textId="77777777"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lastRenderedPageBreak/>
        <w:t xml:space="preserve"> __ 2. Ordinances relating to the issuance or refinancing of </w:t>
      </w:r>
      <w:proofErr w:type="gramStart"/>
      <w:r w:rsidRPr="00320C66">
        <w:rPr>
          <w:rFonts w:ascii="Times New Roman" w:hAnsi="Times New Roman" w:cs="Times New Roman"/>
          <w:sz w:val="24"/>
          <w:szCs w:val="24"/>
        </w:rPr>
        <w:t>debt;</w:t>
      </w:r>
      <w:proofErr w:type="gramEnd"/>
      <w:r w:rsidRPr="00320C66">
        <w:rPr>
          <w:rFonts w:ascii="Times New Roman" w:hAnsi="Times New Roman" w:cs="Times New Roman"/>
          <w:sz w:val="24"/>
          <w:szCs w:val="24"/>
        </w:rPr>
        <w:t xml:space="preserve"> </w:t>
      </w:r>
    </w:p>
    <w:p w14:paraId="1EB632A4" w14:textId="4B255105"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__ 3. Ordinances relating to the adoption of budgets or budget amendments, including revenue sources necessary to fund the </w:t>
      </w:r>
      <w:proofErr w:type="gramStart"/>
      <w:r w:rsidRPr="00320C66">
        <w:rPr>
          <w:rFonts w:ascii="Times New Roman" w:hAnsi="Times New Roman" w:cs="Times New Roman"/>
          <w:sz w:val="24"/>
          <w:szCs w:val="24"/>
        </w:rPr>
        <w:t>budget;</w:t>
      </w:r>
      <w:proofErr w:type="gramEnd"/>
      <w:r w:rsidRPr="00320C66">
        <w:rPr>
          <w:rFonts w:ascii="Times New Roman" w:hAnsi="Times New Roman" w:cs="Times New Roman"/>
          <w:sz w:val="24"/>
          <w:szCs w:val="24"/>
        </w:rPr>
        <w:t xml:space="preserve"> </w:t>
      </w:r>
    </w:p>
    <w:p w14:paraId="64D99E9B" w14:textId="77777777" w:rsidR="0027441C"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__ 4. Ordinances required to implement a contract or an agreement, including, but not limited to, any federal, state, local, or private grant, or other financial assistance accepted by a municipal </w:t>
      </w:r>
      <w:proofErr w:type="gramStart"/>
      <w:r w:rsidRPr="00320C66">
        <w:rPr>
          <w:rFonts w:ascii="Times New Roman" w:hAnsi="Times New Roman" w:cs="Times New Roman"/>
          <w:sz w:val="24"/>
          <w:szCs w:val="24"/>
        </w:rPr>
        <w:t>government;</w:t>
      </w:r>
      <w:proofErr w:type="gramEnd"/>
      <w:r w:rsidRPr="00320C66">
        <w:rPr>
          <w:rFonts w:ascii="Times New Roman" w:hAnsi="Times New Roman" w:cs="Times New Roman"/>
          <w:sz w:val="24"/>
          <w:szCs w:val="24"/>
        </w:rPr>
        <w:t xml:space="preserve"> </w:t>
      </w:r>
    </w:p>
    <w:p w14:paraId="6FF2628C" w14:textId="36E4067C"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__ 5. Emergency </w:t>
      </w:r>
      <w:proofErr w:type="gramStart"/>
      <w:r w:rsidRPr="00320C66">
        <w:rPr>
          <w:rFonts w:ascii="Times New Roman" w:hAnsi="Times New Roman" w:cs="Times New Roman"/>
          <w:sz w:val="24"/>
          <w:szCs w:val="24"/>
        </w:rPr>
        <w:t>ordinances;</w:t>
      </w:r>
      <w:proofErr w:type="gramEnd"/>
      <w:r w:rsidRPr="00320C66">
        <w:rPr>
          <w:rFonts w:ascii="Times New Roman" w:hAnsi="Times New Roman" w:cs="Times New Roman"/>
          <w:sz w:val="24"/>
          <w:szCs w:val="24"/>
        </w:rPr>
        <w:t xml:space="preserve"> </w:t>
      </w:r>
    </w:p>
    <w:p w14:paraId="73B4C233" w14:textId="50890D2D"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__ 6. Ordinances relating to procurement; or</w:t>
      </w:r>
    </w:p>
    <w:p w14:paraId="0AC52D84" w14:textId="59A9AF61" w:rsidR="006F2BDB" w:rsidRPr="00320C66" w:rsidRDefault="00746420">
      <w:pPr>
        <w:rPr>
          <w:rFonts w:ascii="Times New Roman" w:hAnsi="Times New Roman" w:cs="Times New Roman"/>
          <w:sz w:val="24"/>
          <w:szCs w:val="24"/>
        </w:rPr>
      </w:pPr>
      <w:r w:rsidRPr="00320C66">
        <w:rPr>
          <w:rFonts w:ascii="Times New Roman" w:hAnsi="Times New Roman" w:cs="Times New Roman"/>
          <w:b/>
          <w:bCs/>
          <w:sz w:val="24"/>
          <w:szCs w:val="24"/>
        </w:rPr>
        <w:t xml:space="preserve"> </w:t>
      </w:r>
      <w:r w:rsidRPr="00320C66">
        <w:rPr>
          <w:rFonts w:ascii="Times New Roman" w:hAnsi="Times New Roman" w:cs="Times New Roman"/>
          <w:sz w:val="24"/>
          <w:szCs w:val="24"/>
        </w:rPr>
        <w:t xml:space="preserve"> </w:t>
      </w:r>
      <w:r w:rsidR="006F2BDB" w:rsidRPr="00320C66">
        <w:rPr>
          <w:rFonts w:ascii="Times New Roman" w:hAnsi="Times New Roman" w:cs="Times New Roman"/>
          <w:sz w:val="24"/>
          <w:szCs w:val="24"/>
        </w:rPr>
        <w:t xml:space="preserve">7. Ordinances enacted to implement the following: </w:t>
      </w:r>
    </w:p>
    <w:p w14:paraId="6360442E" w14:textId="2CEDDCCF" w:rsidR="006F2BDB" w:rsidRPr="00320C66" w:rsidRDefault="006F2BDB" w:rsidP="00ED4830">
      <w:pPr>
        <w:ind w:left="720"/>
        <w:rPr>
          <w:rFonts w:ascii="Times New Roman" w:hAnsi="Times New Roman" w:cs="Times New Roman"/>
          <w:sz w:val="24"/>
          <w:szCs w:val="24"/>
        </w:rPr>
      </w:pPr>
      <w:r w:rsidRPr="00320C66">
        <w:rPr>
          <w:rFonts w:ascii="Times New Roman" w:hAnsi="Times New Roman" w:cs="Times New Roman"/>
          <w:sz w:val="24"/>
          <w:szCs w:val="24"/>
        </w:rPr>
        <w:t xml:space="preserve">a.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evelopment orders,</w:t>
      </w:r>
      <w:r w:rsidR="00DF66A4" w:rsidRPr="00320C66">
        <w:rPr>
          <w:rFonts w:ascii="Times New Roman" w:hAnsi="Times New Roman" w:cs="Times New Roman"/>
          <w:sz w:val="24"/>
          <w:szCs w:val="24"/>
        </w:rPr>
        <w:t xml:space="preserve"> and</w:t>
      </w:r>
      <w:r w:rsidRPr="00320C66">
        <w:rPr>
          <w:rFonts w:ascii="Times New Roman" w:hAnsi="Times New Roman" w:cs="Times New Roman"/>
          <w:sz w:val="24"/>
          <w:szCs w:val="24"/>
        </w:rPr>
        <w:t xml:space="preserve"> development agreements, and development permits</w:t>
      </w:r>
      <w:r w:rsidR="00DF66A4" w:rsidRPr="00320C66">
        <w:rPr>
          <w:rFonts w:ascii="Times New Roman" w:hAnsi="Times New Roman" w:cs="Times New Roman"/>
          <w:sz w:val="24"/>
          <w:szCs w:val="24"/>
        </w:rPr>
        <w:t xml:space="preserve">, as those terms are defined in S 163.3164, and development agreements, as authorized by the Florida Local Government Development Acts SS. </w:t>
      </w:r>
      <w:proofErr w:type="gramStart"/>
      <w:r w:rsidR="00DF66A4" w:rsidRPr="00320C66">
        <w:rPr>
          <w:rFonts w:ascii="Times New Roman" w:hAnsi="Times New Roman" w:cs="Times New Roman"/>
          <w:sz w:val="24"/>
          <w:szCs w:val="24"/>
        </w:rPr>
        <w:t>163.3220-163.3243</w:t>
      </w:r>
      <w:r w:rsidRPr="00320C66">
        <w:rPr>
          <w:rFonts w:ascii="Times New Roman" w:hAnsi="Times New Roman" w:cs="Times New Roman"/>
          <w:sz w:val="24"/>
          <w:szCs w:val="24"/>
        </w:rPr>
        <w:t>;</w:t>
      </w:r>
      <w:proofErr w:type="gramEnd"/>
      <w:r w:rsidRPr="00320C66">
        <w:rPr>
          <w:rFonts w:ascii="Times New Roman" w:hAnsi="Times New Roman" w:cs="Times New Roman"/>
          <w:sz w:val="24"/>
          <w:szCs w:val="24"/>
        </w:rPr>
        <w:t xml:space="preserve"> </w:t>
      </w:r>
    </w:p>
    <w:p w14:paraId="529F1000" w14:textId="5DBA103A" w:rsidR="00DF66A4" w:rsidRPr="00320C66" w:rsidRDefault="00DF66A4" w:rsidP="00ED4830">
      <w:pPr>
        <w:ind w:left="720"/>
        <w:rPr>
          <w:rFonts w:ascii="Times New Roman" w:hAnsi="Times New Roman" w:cs="Times New Roman"/>
          <w:sz w:val="24"/>
          <w:szCs w:val="24"/>
        </w:rPr>
      </w:pPr>
      <w:r w:rsidRPr="00320C66">
        <w:rPr>
          <w:rFonts w:ascii="Times New Roman" w:hAnsi="Times New Roman" w:cs="Times New Roman"/>
          <w:sz w:val="24"/>
          <w:szCs w:val="24"/>
        </w:rPr>
        <w:t xml:space="preserve"> b. Comprehensive Plan amendments and land development regulation amendments initiated by an application by a private party other than the </w:t>
      </w:r>
      <w:proofErr w:type="gramStart"/>
      <w:r w:rsidRPr="00320C66">
        <w:rPr>
          <w:rFonts w:ascii="Times New Roman" w:hAnsi="Times New Roman" w:cs="Times New Roman"/>
          <w:sz w:val="24"/>
          <w:szCs w:val="24"/>
        </w:rPr>
        <w:t>county;</w:t>
      </w:r>
      <w:proofErr w:type="gramEnd"/>
    </w:p>
    <w:p w14:paraId="38FCE6D6" w14:textId="4BA7D6AA" w:rsidR="006F2BDB" w:rsidRPr="00320C66" w:rsidRDefault="006F2BDB" w:rsidP="00ED4830">
      <w:pPr>
        <w:ind w:left="720"/>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c</w:t>
      </w:r>
      <w:r w:rsidRPr="00320C66">
        <w:rPr>
          <w:rFonts w:ascii="Times New Roman" w:hAnsi="Times New Roman" w:cs="Times New Roman"/>
          <w:sz w:val="24"/>
          <w:szCs w:val="24"/>
        </w:rPr>
        <w:t xml:space="preserve">. Sections 190.005 and </w:t>
      </w:r>
      <w:proofErr w:type="gramStart"/>
      <w:r w:rsidRPr="00320C66">
        <w:rPr>
          <w:rFonts w:ascii="Times New Roman" w:hAnsi="Times New Roman" w:cs="Times New Roman"/>
          <w:sz w:val="24"/>
          <w:szCs w:val="24"/>
        </w:rPr>
        <w:t>190.046;</w:t>
      </w:r>
      <w:proofErr w:type="gramEnd"/>
      <w:r w:rsidRPr="00320C66">
        <w:rPr>
          <w:rFonts w:ascii="Times New Roman" w:hAnsi="Times New Roman" w:cs="Times New Roman"/>
          <w:sz w:val="24"/>
          <w:szCs w:val="24"/>
        </w:rPr>
        <w:t xml:space="preserve"> </w:t>
      </w:r>
    </w:p>
    <w:p w14:paraId="3433951D" w14:textId="00E30756" w:rsidR="006F2BDB" w:rsidRPr="00320C66" w:rsidRDefault="006F2BDB" w:rsidP="00ED4830">
      <w:pPr>
        <w:ind w:left="720"/>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 xml:space="preserve">. Section 553.73, relating to the Florida Building Code; or </w:t>
      </w:r>
    </w:p>
    <w:p w14:paraId="795ABA93" w14:textId="209D1DF9" w:rsidR="00847E36" w:rsidRPr="00320C66" w:rsidRDefault="006F2BDB" w:rsidP="00ED4830">
      <w:pPr>
        <w:ind w:left="720"/>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e</w:t>
      </w:r>
      <w:r w:rsidRPr="00320C66">
        <w:rPr>
          <w:rFonts w:ascii="Times New Roman" w:hAnsi="Times New Roman" w:cs="Times New Roman"/>
          <w:sz w:val="24"/>
          <w:szCs w:val="24"/>
        </w:rPr>
        <w:t xml:space="preserve">. Section 633.202, relating to the Florida Fire Prevention Code. </w:t>
      </w:r>
    </w:p>
    <w:p w14:paraId="41923AD7" w14:textId="77777777" w:rsidR="00320C66" w:rsidRPr="00320C66" w:rsidRDefault="006F2BDB" w:rsidP="00320C66">
      <w:pPr>
        <w:rPr>
          <w:rFonts w:ascii="Times New Roman" w:hAnsi="Times New Roman" w:cs="Times New Roman"/>
          <w:b/>
          <w:sz w:val="24"/>
          <w:szCs w:val="24"/>
        </w:rPr>
      </w:pPr>
      <w:r w:rsidRPr="00320C66">
        <w:rPr>
          <w:rFonts w:ascii="Times New Roman" w:hAnsi="Times New Roman" w:cs="Times New Roman"/>
          <w:b/>
          <w:sz w:val="24"/>
          <w:szCs w:val="24"/>
        </w:rPr>
        <w:t xml:space="preserve">Part I. Summary of the proposed ordinance and statement of public purpose: </w:t>
      </w:r>
    </w:p>
    <w:p w14:paraId="3C49233E" w14:textId="6EDD79B0" w:rsidR="00320C66" w:rsidRPr="00E33A51" w:rsidRDefault="00320C66" w:rsidP="00320C66">
      <w:pPr>
        <w:rPr>
          <w:rFonts w:ascii="Times New Roman" w:hAnsi="Times New Roman" w:cs="Times New Roman"/>
          <w:b/>
          <w:bCs/>
          <w:sz w:val="24"/>
          <w:szCs w:val="24"/>
        </w:rPr>
      </w:pPr>
      <w:r w:rsidRPr="00E33A51">
        <w:rPr>
          <w:rFonts w:ascii="Times New Roman" w:eastAsia="Times New Roman" w:hAnsi="Times New Roman" w:cs="Times New Roman"/>
          <w:b/>
          <w:bCs/>
          <w:kern w:val="36"/>
          <w:sz w:val="24"/>
          <w:szCs w:val="24"/>
        </w:rPr>
        <w:t>Live Local Act</w:t>
      </w:r>
    </w:p>
    <w:p w14:paraId="2DB2C598" w14:textId="77777777" w:rsidR="00320C66" w:rsidRPr="00320C66" w:rsidRDefault="00320C66" w:rsidP="00320C66">
      <w:pPr>
        <w:shd w:val="clear" w:color="auto" w:fill="FFFFFF"/>
        <w:spacing w:before="40" w:after="0" w:line="240" w:lineRule="auto"/>
        <w:outlineLvl w:val="1"/>
        <w:rPr>
          <w:rFonts w:ascii="Times New Roman" w:eastAsia="Times New Roman" w:hAnsi="Times New Roman" w:cs="Times New Roman"/>
          <w:b/>
          <w:bCs/>
          <w:sz w:val="24"/>
          <w:szCs w:val="24"/>
        </w:rPr>
      </w:pPr>
      <w:r w:rsidRPr="00320C66">
        <w:rPr>
          <w:rFonts w:ascii="Times New Roman" w:eastAsia="Times New Roman" w:hAnsi="Times New Roman" w:cs="Times New Roman"/>
          <w:b/>
          <w:bCs/>
          <w:sz w:val="24"/>
          <w:szCs w:val="24"/>
        </w:rPr>
        <w:t>Background</w:t>
      </w:r>
    </w:p>
    <w:p w14:paraId="3E5330B6" w14:textId="77777777" w:rsidR="00320C66" w:rsidRPr="00320C66" w:rsidRDefault="00320C66" w:rsidP="00320C66">
      <w:pPr>
        <w:numPr>
          <w:ilvl w:val="0"/>
          <w:numId w:val="2"/>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On March 29, 2023, Governor DeSantis signed Senate Bill 102, which is known as the Live Local Act with an effective date of July 1, 2023. </w:t>
      </w:r>
    </w:p>
    <w:p w14:paraId="18807D74" w14:textId="77777777" w:rsidR="00320C66" w:rsidRPr="00320C66" w:rsidRDefault="00320C66" w:rsidP="00320C66">
      <w:pPr>
        <w:numPr>
          <w:ilvl w:val="0"/>
          <w:numId w:val="2"/>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It addresses a variety of housing policies including funding, tax incentives, and substantial amendments to the state’s housing strategy such as providing incentives to developers to construct affordable and workforce housing in the state. </w:t>
      </w:r>
    </w:p>
    <w:p w14:paraId="14597B9F" w14:textId="77777777" w:rsidR="00320C66" w:rsidRPr="00320C66" w:rsidRDefault="00320C66" w:rsidP="00320C66">
      <w:pPr>
        <w:numPr>
          <w:ilvl w:val="0"/>
          <w:numId w:val="2"/>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This applies to all local governments in the State of Florida.</w:t>
      </w:r>
    </w:p>
    <w:p w14:paraId="47E84A3E" w14:textId="78796E88" w:rsidR="00320C66" w:rsidRPr="00320C66" w:rsidRDefault="00320C66" w:rsidP="00320C66">
      <w:pPr>
        <w:numPr>
          <w:ilvl w:val="0"/>
          <w:numId w:val="2"/>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On May 16, 2024, Governor DeSantis signed into law Senate Bill 328, an amendment to the Live Local Act with an immediate effective date.</w:t>
      </w:r>
    </w:p>
    <w:p w14:paraId="3575114E" w14:textId="77777777" w:rsidR="00320C66" w:rsidRPr="00320C66" w:rsidRDefault="00320C66" w:rsidP="00320C66">
      <w:pPr>
        <w:shd w:val="clear" w:color="auto" w:fill="FFFFFF"/>
        <w:spacing w:before="100" w:beforeAutospacing="1" w:after="84" w:line="240" w:lineRule="auto"/>
        <w:ind w:left="480"/>
        <w:rPr>
          <w:rFonts w:ascii="Times New Roman" w:eastAsia="Times New Roman" w:hAnsi="Times New Roman" w:cs="Times New Roman"/>
          <w:sz w:val="24"/>
          <w:szCs w:val="24"/>
        </w:rPr>
      </w:pPr>
    </w:p>
    <w:p w14:paraId="67259C93" w14:textId="77777777" w:rsidR="00320C66" w:rsidRPr="00320C66" w:rsidRDefault="00320C66" w:rsidP="00320C66">
      <w:pPr>
        <w:shd w:val="clear" w:color="auto" w:fill="FFFFFF"/>
        <w:spacing w:before="40" w:after="0" w:line="240" w:lineRule="auto"/>
        <w:outlineLvl w:val="1"/>
        <w:rPr>
          <w:rFonts w:ascii="Times New Roman" w:eastAsia="Times New Roman" w:hAnsi="Times New Roman" w:cs="Times New Roman"/>
          <w:b/>
          <w:bCs/>
          <w:sz w:val="24"/>
          <w:szCs w:val="24"/>
        </w:rPr>
      </w:pPr>
      <w:r w:rsidRPr="00320C66">
        <w:rPr>
          <w:rFonts w:ascii="Times New Roman" w:eastAsia="Times New Roman" w:hAnsi="Times New Roman" w:cs="Times New Roman"/>
          <w:b/>
          <w:bCs/>
          <w:sz w:val="24"/>
          <w:szCs w:val="24"/>
        </w:rPr>
        <w:t>Land Use Standards</w:t>
      </w:r>
    </w:p>
    <w:p w14:paraId="28F498EF" w14:textId="77777777" w:rsidR="00320C66" w:rsidRPr="00320C66" w:rsidRDefault="00320C66" w:rsidP="00320C66">
      <w:pPr>
        <w:numPr>
          <w:ilvl w:val="0"/>
          <w:numId w:val="3"/>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The Live Local Act (LLA) preempts local governments from regulating the use, density, height, or floor area ratio of an affordable housing development until October 1, 2033, if a rental project is:</w:t>
      </w:r>
    </w:p>
    <w:p w14:paraId="4A9BC105"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lastRenderedPageBreak/>
        <w:t>Multifamily or mixed-use residential in any area zoned commercial, industrial, or mixed-use.</w:t>
      </w:r>
    </w:p>
    <w:p w14:paraId="5448BF7F"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Cities, such as Palm Coast, that designate less than 20 percent of land area for commercial or industrial are only required to authorize development of mixed-use residential in commercial or industrial zoned areas.</w:t>
      </w:r>
    </w:p>
    <w:p w14:paraId="05E74D72"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At least 40 percent of the units are certified affordable for households up to 120 percent of Area Median Income (AMI) for at least 30 years. </w:t>
      </w:r>
    </w:p>
    <w:p w14:paraId="1592CDE2"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Mixed-use residential projects are required to have at least 65 percent of the square footage of the project is residential. </w:t>
      </w:r>
    </w:p>
    <w:p w14:paraId="3BF104CF"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Local governments cannot require a development meeting the above noted requirements to obtain a zoning/land use change, special exception, conditional use approval, variance, or comprehensive plan amendment for use, density, height, or floor area. </w:t>
      </w:r>
    </w:p>
    <w:p w14:paraId="28524B66" w14:textId="77777777" w:rsidR="00320C66" w:rsidRPr="00320C66" w:rsidRDefault="00320C66" w:rsidP="00320C66">
      <w:pPr>
        <w:numPr>
          <w:ilvl w:val="0"/>
          <w:numId w:val="3"/>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Under the LLA, affordable housing developments are entitled to the following:</w:t>
      </w:r>
    </w:p>
    <w:p w14:paraId="7823457E"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 xml:space="preserve">Use – </w:t>
      </w:r>
      <w:r w:rsidRPr="00320C66">
        <w:rPr>
          <w:rFonts w:ascii="Times New Roman" w:hAnsi="Times New Roman" w:cs="Times New Roman"/>
          <w:sz w:val="24"/>
          <w:szCs w:val="24"/>
          <w:shd w:val="clear" w:color="auto" w:fill="FFFFFF"/>
        </w:rPr>
        <w:t>LLA developments are allowed to be constructed within commercial, industrial, or mixed-use zoning with only administrative approval.</w:t>
      </w:r>
    </w:p>
    <w:p w14:paraId="7C2DF0E0"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hAnsi="Times New Roman" w:cs="Times New Roman"/>
          <w:sz w:val="24"/>
          <w:szCs w:val="24"/>
          <w:shd w:val="clear" w:color="auto" w:fill="FFFFFF"/>
        </w:rPr>
        <w:t>LLA developments within one-quarter mile of a military installation are not subject to administrative approval.</w:t>
      </w:r>
    </w:p>
    <w:p w14:paraId="097EB631"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LLA developments within Transit Oriented Development (TOD) areas are required to be mixed-use residential.</w:t>
      </w:r>
    </w:p>
    <w:p w14:paraId="5D20302B"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Density – LLA developments are entitled to the highest density allowed on any land in the city where residential development is permitted. </w:t>
      </w:r>
    </w:p>
    <w:p w14:paraId="36E4CE91" w14:textId="77777777" w:rsidR="00320C66" w:rsidRPr="00320C66" w:rsidRDefault="00320C66" w:rsidP="00320C66">
      <w:pPr>
        <w:numPr>
          <w:ilvl w:val="1"/>
          <w:numId w:val="3"/>
        </w:numPr>
        <w:shd w:val="clear" w:color="auto" w:fill="FFFFFF"/>
        <w:spacing w:before="100" w:beforeAutospacing="1" w:after="84" w:line="240" w:lineRule="auto"/>
        <w:ind w:left="120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Height – LLA development is allowed to be constructed at the highest allowed height for a commercial or residential development located within the jurisdiction within one mile of the proposed development, or three stories, whichever is higher.</w:t>
      </w:r>
    </w:p>
    <w:p w14:paraId="02D56E91"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LLA developments adjacent, by two or more sides, to single-family zoning classifications with a residential subdivision of at least 25 contiguous units are limited to no more than 150 percent of the tallest adjacent building, the maximum currently allowed height for the property, or three stories, whichever is higher.</w:t>
      </w:r>
    </w:p>
    <w:p w14:paraId="50FF54A4"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Airport-impacted areas are exempt from the LLA requirements based on Section 333.03 of the Florida Statutes.  This exemption includes proposed LLA developments: near a runway within one-quarter mile laterally from a runway edge or its extension for 10,000 feet, within any airport noise zone, or if they exceed the maximum height restriction for the airport zoning regulation.</w:t>
      </w:r>
    </w:p>
    <w:p w14:paraId="6E5EF89C" w14:textId="77777777" w:rsidR="00320C66" w:rsidRPr="00320C66" w:rsidRDefault="00320C66" w:rsidP="00320C66">
      <w:pPr>
        <w:numPr>
          <w:ilvl w:val="1"/>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Floor Area Ratio – LLA developments are entitled to 150 percent of the highest floor area ratio (FAR) allowed on any land in the city.</w:t>
      </w:r>
    </w:p>
    <w:p w14:paraId="4C747221" w14:textId="77777777" w:rsidR="00320C66" w:rsidRPr="00320C66" w:rsidRDefault="00320C66" w:rsidP="00320C66">
      <w:pPr>
        <w:numPr>
          <w:ilvl w:val="1"/>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Parking Reductions – The LLA also allows for relief from parking requirements in a municipality as follows:</w:t>
      </w:r>
    </w:p>
    <w:p w14:paraId="2A4B46C3"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lastRenderedPageBreak/>
        <w:t xml:space="preserve">Municipalities must consider reducing parking requirements for LLA development within one-quarter mile of a transit stop that is accessible to the development. </w:t>
      </w:r>
    </w:p>
    <w:p w14:paraId="24E67A76"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LLA developments within one-half mile from a major transit hub are eligible for a 20 percent reduction in the number of parking required if they are accessible to the development by pedestrian friendly means – sidewalks, crosswalks, bike paths or the project has available parking within 600 feet of the development which consists of options such as on-street parking, parking lots, or parking garages.</w:t>
      </w:r>
    </w:p>
    <w:p w14:paraId="38F4CF9E" w14:textId="77777777" w:rsidR="00320C66" w:rsidRPr="00320C66" w:rsidRDefault="00320C66" w:rsidP="00320C66">
      <w:pPr>
        <w:numPr>
          <w:ilvl w:val="2"/>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Municipalities must eliminate parking requirements for LLA mixed-use residential if the project is within a TOD.</w:t>
      </w:r>
    </w:p>
    <w:p w14:paraId="22CDB691" w14:textId="77777777" w:rsidR="00320C66" w:rsidRPr="00320C66" w:rsidRDefault="00320C66" w:rsidP="00320C66">
      <w:pPr>
        <w:numPr>
          <w:ilvl w:val="1"/>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Bonuses – Municipalities are not required to consider bonuses granted for a project through a variance, special exception, or other means of incentives that exceed the highest currently allowed density, height, or FAR when evaluating the entitlements of LLA developments. The LLA does not preclude a municipality from granting additional bonuses for a development nor LLA developments from receiving them, such a bonus for any qualifying LLA development shall be administratively approved.</w:t>
      </w:r>
    </w:p>
    <w:p w14:paraId="48E1AE2B" w14:textId="77777777" w:rsidR="00320C66" w:rsidRPr="00320C66" w:rsidRDefault="00320C66" w:rsidP="00320C66">
      <w:pPr>
        <w:numPr>
          <w:ilvl w:val="1"/>
          <w:numId w:val="3"/>
        </w:num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Conformity – LLA developments shall be treated as a conforming use, even after the expiration of Section 166.04151(7)(l) on October 1, 2033, and the expiration of the LLA development’s affordability period. If a LLA development violates the affordability period, they shall have a reasonable time to cure such violation. In the event the affordability</w:t>
      </w:r>
    </w:p>
    <w:p w14:paraId="14E38B21" w14:textId="77777777" w:rsidR="00320C66" w:rsidRPr="00320C66" w:rsidRDefault="00320C66" w:rsidP="00320C66">
      <w:pPr>
        <w:numPr>
          <w:ilvl w:val="0"/>
          <w:numId w:val="3"/>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LLA developments must adhere to all applicable state and local laws and regulations not otherwise preempted by the LLA.  LLA developments shall be subject to additional monitoring agreements for affordability to ensure compliance with the law.</w:t>
      </w:r>
    </w:p>
    <w:p w14:paraId="785D2CDA" w14:textId="77777777" w:rsidR="00320C66" w:rsidRPr="00320C66" w:rsidRDefault="00320C66" w:rsidP="00320C66">
      <w:pPr>
        <w:shd w:val="clear" w:color="auto" w:fill="FFFFFF"/>
        <w:spacing w:after="0" w:line="240" w:lineRule="auto"/>
        <w:outlineLvl w:val="1"/>
        <w:rPr>
          <w:rFonts w:ascii="Times New Roman" w:eastAsia="Times New Roman" w:hAnsi="Times New Roman" w:cs="Times New Roman"/>
          <w:b/>
          <w:bCs/>
          <w:sz w:val="24"/>
          <w:szCs w:val="24"/>
          <w:bdr w:val="none" w:sz="0" w:space="0" w:color="auto" w:frame="1"/>
        </w:rPr>
      </w:pPr>
    </w:p>
    <w:p w14:paraId="298EAC6B" w14:textId="77777777" w:rsidR="00320C66" w:rsidRPr="00320C66" w:rsidRDefault="00320C66" w:rsidP="00320C66">
      <w:pPr>
        <w:shd w:val="clear" w:color="auto" w:fill="FFFFFF"/>
        <w:spacing w:before="40" w:after="0" w:line="240" w:lineRule="auto"/>
        <w:outlineLvl w:val="1"/>
        <w:rPr>
          <w:rFonts w:ascii="Times New Roman" w:eastAsia="Times New Roman" w:hAnsi="Times New Roman" w:cs="Times New Roman"/>
          <w:b/>
          <w:bCs/>
          <w:sz w:val="24"/>
          <w:szCs w:val="24"/>
        </w:rPr>
      </w:pPr>
      <w:r w:rsidRPr="00320C66">
        <w:rPr>
          <w:rFonts w:ascii="Times New Roman" w:eastAsia="Times New Roman" w:hAnsi="Times New Roman" w:cs="Times New Roman"/>
          <w:b/>
          <w:bCs/>
          <w:sz w:val="24"/>
          <w:szCs w:val="24"/>
        </w:rPr>
        <w:t>Procedures for Development</w:t>
      </w:r>
    </w:p>
    <w:p w14:paraId="61795D36" w14:textId="77777777" w:rsidR="00320C66" w:rsidRPr="00320C66" w:rsidRDefault="00320C66" w:rsidP="00320C66">
      <w:pPr>
        <w:shd w:val="clear" w:color="auto" w:fill="FFFFFF"/>
        <w:spacing w:before="100" w:beforeAutospacing="1" w:after="84"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The procedures for qualifying a development under the Live Local law shall follow the City's administrative approval process for a site plan as described in the Unified Land Development Code, Chapter 2 Review, Authority, and Procedures, Part II – Development Orders and Agreements – Applications and Procedures as amended.</w:t>
      </w:r>
    </w:p>
    <w:p w14:paraId="2284BD16" w14:textId="77777777" w:rsidR="00A0361F" w:rsidRDefault="00A0361F" w:rsidP="00320C66">
      <w:pPr>
        <w:shd w:val="clear" w:color="auto" w:fill="FFFFFF"/>
        <w:spacing w:after="0" w:line="240" w:lineRule="auto"/>
        <w:outlineLvl w:val="1"/>
        <w:rPr>
          <w:rFonts w:ascii="Times New Roman" w:eastAsia="Times New Roman" w:hAnsi="Times New Roman" w:cs="Times New Roman"/>
          <w:b/>
          <w:bCs/>
          <w:sz w:val="24"/>
          <w:szCs w:val="24"/>
        </w:rPr>
      </w:pPr>
    </w:p>
    <w:p w14:paraId="135601F6" w14:textId="5D18FBE7" w:rsidR="00320C66" w:rsidRPr="00320C66" w:rsidRDefault="00320C66" w:rsidP="00320C66">
      <w:pPr>
        <w:shd w:val="clear" w:color="auto" w:fill="FFFFFF"/>
        <w:spacing w:after="0" w:line="240" w:lineRule="auto"/>
        <w:outlineLvl w:val="1"/>
        <w:rPr>
          <w:rFonts w:ascii="Times New Roman" w:eastAsia="Times New Roman" w:hAnsi="Times New Roman" w:cs="Times New Roman"/>
          <w:b/>
          <w:bCs/>
          <w:sz w:val="24"/>
          <w:szCs w:val="24"/>
        </w:rPr>
      </w:pPr>
      <w:r w:rsidRPr="00320C66">
        <w:rPr>
          <w:rFonts w:ascii="Times New Roman" w:eastAsia="Times New Roman" w:hAnsi="Times New Roman" w:cs="Times New Roman"/>
          <w:b/>
          <w:bCs/>
          <w:sz w:val="24"/>
          <w:szCs w:val="24"/>
        </w:rPr>
        <w:t>Resources</w:t>
      </w:r>
    </w:p>
    <w:p w14:paraId="65960119" w14:textId="77777777" w:rsidR="00320C66" w:rsidRPr="00320C66" w:rsidRDefault="00320C66" w:rsidP="00320C66">
      <w:pPr>
        <w:numPr>
          <w:ilvl w:val="0"/>
          <w:numId w:val="4"/>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Ordinance (Amending LDC for LLA Provisions)</w:t>
      </w:r>
    </w:p>
    <w:p w14:paraId="46B507E7" w14:textId="77777777" w:rsidR="00320C66" w:rsidRPr="00320C66" w:rsidRDefault="00320C66" w:rsidP="00320C66">
      <w:pPr>
        <w:numPr>
          <w:ilvl w:val="0"/>
          <w:numId w:val="4"/>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Resolution</w:t>
      </w:r>
    </w:p>
    <w:p w14:paraId="29FD115F" w14:textId="77777777" w:rsidR="00320C66" w:rsidRPr="00320C66" w:rsidRDefault="00320C66" w:rsidP="00320C66">
      <w:pPr>
        <w:numPr>
          <w:ilvl w:val="0"/>
          <w:numId w:val="4"/>
        </w:numPr>
        <w:shd w:val="clear" w:color="auto" w:fill="FFFFFF"/>
        <w:spacing w:before="100" w:beforeAutospacing="1" w:after="84" w:line="240" w:lineRule="auto"/>
        <w:ind w:left="480"/>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Map of Commercial and Industrial Zoned Property</w:t>
      </w:r>
    </w:p>
    <w:p w14:paraId="36C27540" w14:textId="77777777" w:rsidR="00A0361F" w:rsidRDefault="00A0361F" w:rsidP="00E33A51">
      <w:pPr>
        <w:shd w:val="clear" w:color="auto" w:fill="FFFFFF"/>
        <w:spacing w:after="336" w:line="240" w:lineRule="auto"/>
        <w:rPr>
          <w:rFonts w:ascii="Times New Roman" w:eastAsia="Times New Roman" w:hAnsi="Times New Roman" w:cs="Times New Roman"/>
          <w:sz w:val="24"/>
          <w:szCs w:val="24"/>
        </w:rPr>
      </w:pPr>
    </w:p>
    <w:p w14:paraId="65157747" w14:textId="65924087" w:rsidR="00024D43" w:rsidRDefault="00320C66" w:rsidP="00E33A51">
      <w:pPr>
        <w:shd w:val="clear" w:color="auto" w:fill="FFFFFF"/>
        <w:spacing w:after="336" w:line="240" w:lineRule="auto"/>
        <w:rPr>
          <w:rFonts w:ascii="Times New Roman" w:eastAsia="Times New Roman" w:hAnsi="Times New Roman" w:cs="Times New Roman"/>
          <w:sz w:val="24"/>
          <w:szCs w:val="24"/>
        </w:rPr>
      </w:pPr>
      <w:r w:rsidRPr="00320C66">
        <w:rPr>
          <w:rFonts w:ascii="Times New Roman" w:eastAsia="Times New Roman" w:hAnsi="Times New Roman" w:cs="Times New Roman"/>
          <w:sz w:val="24"/>
          <w:szCs w:val="24"/>
        </w:rPr>
        <w:t>The posting of these procedures complies with the requirements of Section 166.04151(7)(e) of the Florida Statutes.</w:t>
      </w:r>
    </w:p>
    <w:p w14:paraId="39037A7D" w14:textId="77777777" w:rsidR="00516571" w:rsidRDefault="00516571" w:rsidP="00E33A51">
      <w:pPr>
        <w:shd w:val="clear" w:color="auto" w:fill="FFFFFF"/>
        <w:spacing w:after="336" w:line="240" w:lineRule="auto"/>
        <w:rPr>
          <w:rFonts w:ascii="Times New Roman" w:eastAsia="Times New Roman" w:hAnsi="Times New Roman" w:cs="Times New Roman"/>
          <w:sz w:val="24"/>
          <w:szCs w:val="24"/>
        </w:rPr>
      </w:pPr>
    </w:p>
    <w:p w14:paraId="7EB4285A" w14:textId="351E2D59" w:rsidR="00516571" w:rsidRDefault="00516571" w:rsidP="00E33A51">
      <w:pPr>
        <w:shd w:val="clear" w:color="auto" w:fill="FFFFFF"/>
        <w:spacing w:after="336" w:line="240" w:lineRule="auto"/>
        <w:rPr>
          <w:rFonts w:ascii="Times New Roman" w:eastAsia="Times New Roman" w:hAnsi="Times New Roman" w:cs="Times New Roman"/>
          <w:b/>
          <w:bCs/>
          <w:sz w:val="24"/>
          <w:szCs w:val="24"/>
        </w:rPr>
      </w:pPr>
      <w:r w:rsidRPr="00516571">
        <w:rPr>
          <w:rFonts w:ascii="Times New Roman" w:eastAsia="Times New Roman" w:hAnsi="Times New Roman" w:cs="Times New Roman"/>
          <w:b/>
          <w:bCs/>
          <w:sz w:val="24"/>
          <w:szCs w:val="24"/>
        </w:rPr>
        <w:t>ECONOMIC IMPACT ON BUSINESS</w:t>
      </w:r>
    </w:p>
    <w:p w14:paraId="196B360B" w14:textId="642C6CA6" w:rsidR="00516571" w:rsidRDefault="00516571" w:rsidP="00516571">
      <w:pPr>
        <w:spacing w:before="100" w:beforeAutospacing="1" w:after="100" w:afterAutospacing="1" w:line="240" w:lineRule="auto"/>
        <w:rPr>
          <w:rFonts w:ascii="Times New Roman" w:eastAsia="Times New Roman" w:hAnsi="Times New Roman" w:cs="Times New Roman"/>
          <w:b/>
          <w:bCs/>
          <w:sz w:val="24"/>
          <w:szCs w:val="24"/>
        </w:rPr>
      </w:pPr>
      <w:r w:rsidRPr="009313C8">
        <w:rPr>
          <w:rFonts w:ascii="Times New Roman" w:eastAsia="Times New Roman" w:hAnsi="Times New Roman" w:cs="Times New Roman"/>
          <w:b/>
          <w:bCs/>
          <w:sz w:val="24"/>
          <w:szCs w:val="24"/>
        </w:rPr>
        <w:t>a. Estimated number of businesses impacted:</w:t>
      </w:r>
      <w:r w:rsidRPr="009313C8">
        <w:rPr>
          <w:rFonts w:ascii="Times New Roman" w:eastAsia="Times New Roman" w:hAnsi="Times New Roman" w:cs="Times New Roman"/>
          <w:sz w:val="24"/>
          <w:szCs w:val="24"/>
        </w:rPr>
        <w:t xml:space="preserve"> Approximately </w:t>
      </w:r>
      <w:r>
        <w:rPr>
          <w:rFonts w:ascii="Times New Roman" w:eastAsia="Times New Roman" w:hAnsi="Times New Roman" w:cs="Times New Roman"/>
          <w:sz w:val="24"/>
          <w:szCs w:val="24"/>
        </w:rPr>
        <w:t xml:space="preserve">3,226 listed </w:t>
      </w:r>
      <w:r w:rsidRPr="009313C8">
        <w:rPr>
          <w:rFonts w:ascii="Times New Roman" w:eastAsia="Times New Roman" w:hAnsi="Times New Roman" w:cs="Times New Roman"/>
          <w:sz w:val="24"/>
          <w:szCs w:val="24"/>
        </w:rPr>
        <w:t>business</w:t>
      </w:r>
      <w:r>
        <w:rPr>
          <w:rFonts w:ascii="Times New Roman" w:eastAsia="Times New Roman" w:hAnsi="Times New Roman" w:cs="Times New Roman"/>
          <w:sz w:val="24"/>
          <w:szCs w:val="24"/>
        </w:rPr>
        <w:t xml:space="preserve"> establishments in Flagler County, a number of these businesses </w:t>
      </w:r>
      <w:proofErr w:type="gramStart"/>
      <w:r>
        <w:rPr>
          <w:rFonts w:ascii="Times New Roman" w:eastAsia="Times New Roman" w:hAnsi="Times New Roman" w:cs="Times New Roman"/>
          <w:sz w:val="24"/>
          <w:szCs w:val="24"/>
        </w:rPr>
        <w:t>are located in</w:t>
      </w:r>
      <w:proofErr w:type="gramEnd"/>
      <w:r>
        <w:rPr>
          <w:rFonts w:ascii="Times New Roman" w:eastAsia="Times New Roman" w:hAnsi="Times New Roman" w:cs="Times New Roman"/>
          <w:sz w:val="24"/>
          <w:szCs w:val="24"/>
        </w:rPr>
        <w:t xml:space="preserve"> Palm </w:t>
      </w:r>
      <w:proofErr w:type="spellStart"/>
      <w:r>
        <w:rPr>
          <w:rFonts w:ascii="Times New Roman" w:eastAsia="Times New Roman" w:hAnsi="Times New Roman" w:cs="Times New Roman"/>
          <w:sz w:val="24"/>
          <w:szCs w:val="24"/>
        </w:rPr>
        <w:t>Coast.</w:t>
      </w:r>
      <w:r w:rsidRPr="009313C8">
        <w:rPr>
          <w:rFonts w:ascii="Times New Roman" w:eastAsia="Times New Roman" w:hAnsi="Times New Roman" w:cs="Times New Roman"/>
          <w:b/>
          <w:bCs/>
          <w:sz w:val="24"/>
          <w:szCs w:val="24"/>
        </w:rPr>
        <w:t>b</w:t>
      </w:r>
      <w:proofErr w:type="spellEnd"/>
      <w:r w:rsidRPr="009313C8">
        <w:rPr>
          <w:rFonts w:ascii="Times New Roman" w:eastAsia="Times New Roman" w:hAnsi="Times New Roman" w:cs="Times New Roman"/>
          <w:b/>
          <w:bCs/>
          <w:sz w:val="24"/>
          <w:szCs w:val="24"/>
        </w:rPr>
        <w:t>. Types of businesses affected:</w:t>
      </w:r>
    </w:p>
    <w:p w14:paraId="4104F4A0"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Construction</w:t>
      </w:r>
    </w:p>
    <w:p w14:paraId="7629738A"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Manufacturing</w:t>
      </w:r>
    </w:p>
    <w:p w14:paraId="2F427809"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Trade, Transportation and Utilities</w:t>
      </w:r>
    </w:p>
    <w:p w14:paraId="2403B156"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Information</w:t>
      </w:r>
    </w:p>
    <w:p w14:paraId="3CB6EF55"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Financial Activities</w:t>
      </w:r>
    </w:p>
    <w:p w14:paraId="51086778"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Professional and Business Services</w:t>
      </w:r>
    </w:p>
    <w:p w14:paraId="4A764D65"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Leisure and Hospitality</w:t>
      </w:r>
    </w:p>
    <w:p w14:paraId="3783FDA0"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Other Services</w:t>
      </w:r>
    </w:p>
    <w:p w14:paraId="5DA5A61C" w14:textId="77777777" w:rsidR="00516571" w:rsidRPr="00516571" w:rsidRDefault="00516571" w:rsidP="005165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sz w:val="24"/>
          <w:szCs w:val="24"/>
        </w:rPr>
        <w:t>Government</w:t>
      </w:r>
    </w:p>
    <w:p w14:paraId="36E268D9" w14:textId="33CE40EB" w:rsidR="00516571" w:rsidRDefault="00516571" w:rsidP="00516571">
      <w:p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b/>
          <w:bCs/>
          <w:sz w:val="24"/>
          <w:szCs w:val="24"/>
        </w:rPr>
        <w:t xml:space="preserve">Estimated direct economic impact: </w:t>
      </w:r>
      <w:r w:rsidRPr="00516571">
        <w:rPr>
          <w:rFonts w:ascii="Times New Roman" w:eastAsia="Times New Roman" w:hAnsi="Times New Roman" w:cs="Times New Roman"/>
          <w:sz w:val="24"/>
          <w:szCs w:val="24"/>
        </w:rPr>
        <w:t xml:space="preserve">The update of the </w:t>
      </w:r>
      <w:r>
        <w:rPr>
          <w:rFonts w:ascii="Times New Roman" w:eastAsia="Times New Roman" w:hAnsi="Times New Roman" w:cs="Times New Roman"/>
          <w:sz w:val="24"/>
          <w:szCs w:val="24"/>
        </w:rPr>
        <w:t>Unified Land Development Code</w:t>
      </w:r>
      <w:r w:rsidRPr="00516571">
        <w:rPr>
          <w:rFonts w:ascii="Times New Roman" w:eastAsia="Times New Roman" w:hAnsi="Times New Roman" w:cs="Times New Roman"/>
          <w:sz w:val="24"/>
          <w:szCs w:val="24"/>
        </w:rPr>
        <w:t xml:space="preserve"> establishes </w:t>
      </w:r>
      <w:r>
        <w:rPr>
          <w:rFonts w:ascii="Times New Roman" w:eastAsia="Times New Roman" w:hAnsi="Times New Roman" w:cs="Times New Roman"/>
          <w:sz w:val="24"/>
          <w:szCs w:val="24"/>
        </w:rPr>
        <w:t xml:space="preserve">provision for the implementation of the Live Local Act. </w:t>
      </w:r>
      <w:r w:rsidRPr="00516571">
        <w:rPr>
          <w:rFonts w:ascii="Times New Roman" w:eastAsia="Times New Roman" w:hAnsi="Times New Roman" w:cs="Times New Roman"/>
          <w:sz w:val="24"/>
          <w:szCs w:val="24"/>
        </w:rPr>
        <w:t xml:space="preserve"> As such there is no direct economic impact on businesses.</w:t>
      </w:r>
      <w:r>
        <w:rPr>
          <w:rFonts w:ascii="Times New Roman" w:eastAsia="Times New Roman" w:hAnsi="Times New Roman" w:cs="Times New Roman"/>
          <w:sz w:val="24"/>
          <w:szCs w:val="24"/>
        </w:rPr>
        <w:t xml:space="preserve"> </w:t>
      </w:r>
    </w:p>
    <w:p w14:paraId="3959A6E0" w14:textId="02EB7ACB" w:rsidR="00516571" w:rsidRPr="009313C8" w:rsidRDefault="00516571" w:rsidP="00516571">
      <w:pPr>
        <w:spacing w:before="100" w:beforeAutospacing="1" w:after="100" w:afterAutospacing="1" w:line="240" w:lineRule="auto"/>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Negative impact:</w:t>
      </w:r>
      <w:r w:rsidRPr="009313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r>
        <w:rPr>
          <w:rFonts w:ascii="Times New Roman" w:eastAsia="Times New Roman" w:hAnsi="Times New Roman" w:cs="Times New Roman"/>
          <w:sz w:val="24"/>
          <w:szCs w:val="24"/>
        </w:rPr>
        <w:t>, as this attracts additional workforce and housing under the Live Local Act</w:t>
      </w:r>
      <w:r>
        <w:rPr>
          <w:rFonts w:ascii="Times New Roman" w:eastAsia="Times New Roman" w:hAnsi="Times New Roman" w:cs="Times New Roman"/>
          <w:sz w:val="24"/>
          <w:szCs w:val="24"/>
        </w:rPr>
        <w:t>.</w:t>
      </w:r>
    </w:p>
    <w:p w14:paraId="3F63AEF3" w14:textId="77777777" w:rsidR="00516571" w:rsidRDefault="00516571" w:rsidP="00516571">
      <w:pPr>
        <w:spacing w:before="100" w:beforeAutospacing="1" w:after="100" w:afterAutospacing="1" w:line="240" w:lineRule="auto"/>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Compliance Costs</w:t>
      </w:r>
      <w:r>
        <w:rPr>
          <w:rFonts w:ascii="Times New Roman" w:eastAsia="Times New Roman" w:hAnsi="Times New Roman" w:cs="Times New Roman"/>
          <w:b/>
          <w:bCs/>
          <w:sz w:val="24"/>
          <w:szCs w:val="24"/>
        </w:rPr>
        <w:t>:</w:t>
      </w:r>
      <w:r w:rsidRPr="009313C8">
        <w:rPr>
          <w:rFonts w:ascii="Times New Roman" w:eastAsia="Times New Roman" w:hAnsi="Times New Roman" w:cs="Times New Roman"/>
          <w:sz w:val="24"/>
          <w:szCs w:val="24"/>
        </w:rPr>
        <w:br/>
      </w:r>
      <w:r w:rsidRPr="00516571">
        <w:rPr>
          <w:rFonts w:ascii="Times New Roman" w:eastAsia="Times New Roman" w:hAnsi="Times New Roman" w:cs="Times New Roman"/>
          <w:sz w:val="24"/>
          <w:szCs w:val="24"/>
        </w:rPr>
        <w:t>There are no compliance costs expected for existing businesses. The Ordinance does not mandate the retrofitting of any business or a change to the operation of a business.</w:t>
      </w:r>
      <w:r>
        <w:rPr>
          <w:rFonts w:ascii="Times New Roman" w:eastAsia="Times New Roman" w:hAnsi="Times New Roman" w:cs="Times New Roman"/>
          <w:sz w:val="24"/>
          <w:szCs w:val="24"/>
        </w:rPr>
        <w:t xml:space="preserve"> </w:t>
      </w:r>
    </w:p>
    <w:p w14:paraId="13D3A47A" w14:textId="77777777" w:rsidR="00516571" w:rsidRPr="00A85720" w:rsidRDefault="00516571" w:rsidP="00516571">
      <w:pPr>
        <w:spacing w:before="100" w:beforeAutospacing="1" w:after="100" w:afterAutospacing="1" w:line="240" w:lineRule="auto"/>
        <w:rPr>
          <w:rFonts w:ascii="Times New Roman" w:eastAsia="Times New Roman" w:hAnsi="Times New Roman" w:cs="Times New Roman"/>
          <w:sz w:val="24"/>
          <w:szCs w:val="24"/>
        </w:rPr>
      </w:pPr>
    </w:p>
    <w:p w14:paraId="62A4910E" w14:textId="77777777" w:rsidR="00516571" w:rsidRPr="00516571" w:rsidRDefault="00516571" w:rsidP="00E33A51">
      <w:pPr>
        <w:shd w:val="clear" w:color="auto" w:fill="FFFFFF"/>
        <w:spacing w:after="336" w:line="240" w:lineRule="auto"/>
        <w:rPr>
          <w:rFonts w:ascii="Times New Roman" w:hAnsi="Times New Roman" w:cs="Times New Roman"/>
          <w:b/>
          <w:bCs/>
          <w:sz w:val="24"/>
          <w:szCs w:val="24"/>
        </w:rPr>
      </w:pPr>
    </w:p>
    <w:sectPr w:rsidR="00516571" w:rsidRPr="0051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850"/>
    <w:multiLevelType w:val="multilevel"/>
    <w:tmpl w:val="C00C1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1E13DA"/>
    <w:multiLevelType w:val="multilevel"/>
    <w:tmpl w:val="991C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27720"/>
    <w:multiLevelType w:val="multilevel"/>
    <w:tmpl w:val="C39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29B7"/>
    <w:multiLevelType w:val="multilevel"/>
    <w:tmpl w:val="C3148BB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82858">
    <w:abstractNumId w:val="3"/>
  </w:num>
  <w:num w:numId="2" w16cid:durableId="1002122585">
    <w:abstractNumId w:val="1"/>
  </w:num>
  <w:num w:numId="3" w16cid:durableId="1856113093">
    <w:abstractNumId w:val="4"/>
  </w:num>
  <w:num w:numId="4" w16cid:durableId="125468167">
    <w:abstractNumId w:val="0"/>
  </w:num>
  <w:num w:numId="5" w16cid:durableId="56330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81720"/>
    <w:rsid w:val="000E6838"/>
    <w:rsid w:val="001434A1"/>
    <w:rsid w:val="0018559F"/>
    <w:rsid w:val="001A5A26"/>
    <w:rsid w:val="001E3BC3"/>
    <w:rsid w:val="00215135"/>
    <w:rsid w:val="002201F3"/>
    <w:rsid w:val="00241B1B"/>
    <w:rsid w:val="0027441C"/>
    <w:rsid w:val="00280C15"/>
    <w:rsid w:val="002D024B"/>
    <w:rsid w:val="002D09A3"/>
    <w:rsid w:val="00320C66"/>
    <w:rsid w:val="004B15D6"/>
    <w:rsid w:val="004F6C20"/>
    <w:rsid w:val="00516571"/>
    <w:rsid w:val="00525581"/>
    <w:rsid w:val="00564E9E"/>
    <w:rsid w:val="0056606F"/>
    <w:rsid w:val="006062EA"/>
    <w:rsid w:val="006166AD"/>
    <w:rsid w:val="006F2BDB"/>
    <w:rsid w:val="006F5ACE"/>
    <w:rsid w:val="00733AC1"/>
    <w:rsid w:val="00746420"/>
    <w:rsid w:val="007733ED"/>
    <w:rsid w:val="007E1182"/>
    <w:rsid w:val="00842AF0"/>
    <w:rsid w:val="00847E36"/>
    <w:rsid w:val="008724C0"/>
    <w:rsid w:val="00893425"/>
    <w:rsid w:val="0089351C"/>
    <w:rsid w:val="008D1216"/>
    <w:rsid w:val="00906705"/>
    <w:rsid w:val="00952806"/>
    <w:rsid w:val="009756C1"/>
    <w:rsid w:val="009B76CD"/>
    <w:rsid w:val="009F2D9D"/>
    <w:rsid w:val="00A0361F"/>
    <w:rsid w:val="00BC272D"/>
    <w:rsid w:val="00BC38EC"/>
    <w:rsid w:val="00BE7541"/>
    <w:rsid w:val="00C650D7"/>
    <w:rsid w:val="00CC5BF2"/>
    <w:rsid w:val="00D20EF4"/>
    <w:rsid w:val="00D224A2"/>
    <w:rsid w:val="00D24870"/>
    <w:rsid w:val="00D47D4F"/>
    <w:rsid w:val="00D843FC"/>
    <w:rsid w:val="00DA70E8"/>
    <w:rsid w:val="00DF66A4"/>
    <w:rsid w:val="00E33A51"/>
    <w:rsid w:val="00ED4830"/>
    <w:rsid w:val="00F9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6341">
      <w:bodyDiv w:val="1"/>
      <w:marLeft w:val="0"/>
      <w:marRight w:val="0"/>
      <w:marTop w:val="0"/>
      <w:marBottom w:val="0"/>
      <w:divBdr>
        <w:top w:val="none" w:sz="0" w:space="0" w:color="auto"/>
        <w:left w:val="none" w:sz="0" w:space="0" w:color="auto"/>
        <w:bottom w:val="none" w:sz="0" w:space="0" w:color="auto"/>
        <w:right w:val="none" w:sz="0" w:space="0" w:color="auto"/>
      </w:divBdr>
    </w:div>
    <w:div w:id="11103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1374</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 MMC, CP</cp:lastModifiedBy>
  <cp:revision>3</cp:revision>
  <dcterms:created xsi:type="dcterms:W3CDTF">2024-10-01T15:07:00Z</dcterms:created>
  <dcterms:modified xsi:type="dcterms:W3CDTF">2024-10-01T15:17:00Z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fe8ee4bfeafb3c60982219cdb3b1c9caca21dd8520e1b7b51ac72d4482975cdd</vt:lpwstr>
  </property>
</Properties>
</file>