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7E77AC78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January 2, 2024</w:t>
      </w:r>
    </w:p>
    <w:p w14:paraId="116FC8A6" w14:textId="77777777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2023-XX </w:t>
      </w:r>
    </w:p>
    <w:p w14:paraId="3A3D584B" w14:textId="1301DBEB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December 15, 2023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109EE783" w14:textId="77777777" w:rsidR="00733AC1" w:rsidRPr="00F352C1" w:rsidRDefault="00733AC1" w:rsidP="00733AC1">
      <w:pPr>
        <w:ind w:left="1440" w:right="1440"/>
        <w:jc w:val="both"/>
        <w:rPr>
          <w:b/>
        </w:rPr>
      </w:pPr>
      <w:bookmarkStart w:id="0" w:name="OLE_LINK1"/>
      <w:bookmarkStart w:id="1" w:name="OLE_LINK2"/>
      <w:r w:rsidRPr="00F352C1">
        <w:rPr>
          <w:b/>
        </w:rPr>
        <w:t>AN ORDINANCE OF THE CITY COUNCIL OF THE CITY OF PALM COAST, FLORIDA</w:t>
      </w:r>
      <w:r>
        <w:rPr>
          <w:b/>
        </w:rPr>
        <w:t xml:space="preserve">, RENAMING RICHENBACKER DRIVE TO RICKENBACKER DRIVE IN KEEPING WITH CURRENT PRACTICE; </w:t>
      </w:r>
      <w:r w:rsidRPr="00F352C1">
        <w:rPr>
          <w:b/>
        </w:rPr>
        <w:t>PROVIDING FOR SEVERABILITY</w:t>
      </w:r>
      <w:r>
        <w:rPr>
          <w:b/>
        </w:rPr>
        <w:t xml:space="preserve"> </w:t>
      </w:r>
      <w:r w:rsidRPr="00F352C1">
        <w:rPr>
          <w:b/>
        </w:rPr>
        <w:t>CONFLICTS AND AN EFFECTIVE DATE</w:t>
      </w:r>
    </w:p>
    <w:bookmarkEnd w:id="0"/>
    <w:bookmarkEnd w:id="1"/>
    <w:p w14:paraId="593A7DCD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2027ECE7" w:rsidR="006F2BDB" w:rsidRPr="00215135" w:rsidRDefault="00746420">
      <w:pPr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3701221A" w:rsidR="006F2BDB" w:rsidRPr="002D09A3" w:rsidRDefault="0095280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  <w:u w:val="single"/>
        </w:rPr>
        <w:t>X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a.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190.046;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Part I. Summary of the proposed ordinance and statement of public purpose: </w:t>
      </w:r>
    </w:p>
    <w:p w14:paraId="17E19063" w14:textId="1DED2156" w:rsidR="00847E36" w:rsidRDefault="006F2BDB" w:rsidP="001434A1">
      <w:r w:rsidRPr="002D09A3"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  <w:r w:rsidR="001434A1">
        <w:t>N/A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76DF8B6F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77777777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414220EB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2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2"/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7252AFB3" w14:textId="47A11330" w:rsidR="00952806" w:rsidRPr="00952806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3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3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65157747" w14:textId="7490CE99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DA70E8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559F"/>
    <w:rsid w:val="001A5A26"/>
    <w:rsid w:val="001E3BC3"/>
    <w:rsid w:val="00215135"/>
    <w:rsid w:val="002201F3"/>
    <w:rsid w:val="00241B1B"/>
    <w:rsid w:val="0027441C"/>
    <w:rsid w:val="00280C15"/>
    <w:rsid w:val="002D09A3"/>
    <w:rsid w:val="004B15D6"/>
    <w:rsid w:val="00525581"/>
    <w:rsid w:val="00564E9E"/>
    <w:rsid w:val="006062EA"/>
    <w:rsid w:val="006F2BDB"/>
    <w:rsid w:val="00733AC1"/>
    <w:rsid w:val="00746420"/>
    <w:rsid w:val="00847E36"/>
    <w:rsid w:val="008724C0"/>
    <w:rsid w:val="00893425"/>
    <w:rsid w:val="0089351C"/>
    <w:rsid w:val="008D1216"/>
    <w:rsid w:val="00952806"/>
    <w:rsid w:val="009756C1"/>
    <w:rsid w:val="00BC38EC"/>
    <w:rsid w:val="00BE7541"/>
    <w:rsid w:val="00D24870"/>
    <w:rsid w:val="00D47D4F"/>
    <w:rsid w:val="00D843FC"/>
    <w:rsid w:val="00DA70E8"/>
    <w:rsid w:val="00E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Virginia Smith</cp:lastModifiedBy>
  <cp:revision>16</cp:revision>
  <dcterms:created xsi:type="dcterms:W3CDTF">2023-11-13T14:45:00Z</dcterms:created>
  <dcterms:modified xsi:type="dcterms:W3CDTF">2023-11-13T18:46:00Z</dcterms:modified>
</cp:coreProperties>
</file>